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79" w:rsidRPr="004276EE" w:rsidRDefault="00776B79" w:rsidP="00562315">
      <w:pPr>
        <w:pStyle w:val="Texto"/>
        <w:spacing w:before="0" w:after="0" w:line="240" w:lineRule="auto"/>
        <w:contextualSpacing/>
        <w:rPr>
          <w:rFonts w:ascii="Times New Roman" w:hAnsi="Times New Roman"/>
          <w:sz w:val="24"/>
        </w:rPr>
      </w:pPr>
      <w:bookmarkStart w:id="0" w:name="_GoBack"/>
      <w:bookmarkEnd w:id="0"/>
    </w:p>
    <w:p w:rsidR="00776B79" w:rsidRPr="006E1F0F" w:rsidRDefault="00776B79" w:rsidP="00562315">
      <w:pPr>
        <w:pStyle w:val="Texto"/>
        <w:spacing w:before="0" w:after="0" w:line="240" w:lineRule="auto"/>
        <w:contextualSpacing/>
        <w:rPr>
          <w:sz w:val="24"/>
        </w:rPr>
      </w:pPr>
    </w:p>
    <w:p w:rsidR="00456ECA" w:rsidRPr="006E1F0F" w:rsidRDefault="002A3CD1" w:rsidP="00562315">
      <w:pPr>
        <w:pStyle w:val="Texto"/>
        <w:spacing w:before="0" w:after="0" w:line="240" w:lineRule="auto"/>
        <w:contextualSpacing/>
        <w:jc w:val="center"/>
        <w:rPr>
          <w:b/>
          <w:sz w:val="24"/>
        </w:rPr>
      </w:pPr>
      <w:r w:rsidRPr="006E1F0F">
        <w:rPr>
          <w:b/>
          <w:sz w:val="24"/>
        </w:rPr>
        <w:t>Circular Externa</w:t>
      </w:r>
    </w:p>
    <w:p w:rsidR="00456ECA" w:rsidRPr="006E1F0F" w:rsidRDefault="00423091" w:rsidP="00562315">
      <w:pPr>
        <w:pStyle w:val="Texto"/>
        <w:spacing w:before="0" w:after="0" w:line="240" w:lineRule="auto"/>
        <w:contextualSpacing/>
        <w:jc w:val="center"/>
        <w:rPr>
          <w:sz w:val="24"/>
        </w:rPr>
      </w:pPr>
      <w:r w:rsidRPr="006E1F0F">
        <w:rPr>
          <w:sz w:val="24"/>
        </w:rPr>
        <w:t>04 de mayo</w:t>
      </w:r>
      <w:r w:rsidR="00456ECA" w:rsidRPr="006E1F0F">
        <w:rPr>
          <w:sz w:val="24"/>
        </w:rPr>
        <w:t xml:space="preserve"> 2020</w:t>
      </w:r>
    </w:p>
    <w:sdt>
      <w:sdtPr>
        <w:rPr>
          <w:sz w:val="24"/>
        </w:rPr>
        <w:alias w:val="Consecutivo"/>
        <w:tag w:val="Consecutivo"/>
        <w:id w:val="2052717023"/>
        <w:placeholder>
          <w:docPart w:val="0DE3DA67CD0C46BC92B843E07971C7CD"/>
        </w:placeholder>
        <w:showingPlcHdr/>
        <w:text/>
      </w:sdtPr>
      <w:sdtEndPr/>
      <w:sdtContent>
        <w:p w:rsidR="00456ECA" w:rsidRPr="006E1F0F" w:rsidRDefault="00423091" w:rsidP="00562315">
          <w:pPr>
            <w:tabs>
              <w:tab w:val="left" w:pos="2843"/>
            </w:tabs>
            <w:spacing w:line="240" w:lineRule="auto"/>
            <w:contextualSpacing/>
            <w:jc w:val="center"/>
            <w:rPr>
              <w:sz w:val="24"/>
            </w:rPr>
          </w:pPr>
          <w:r>
            <w:t>SGF-1585-2020</w:t>
          </w:r>
        </w:p>
      </w:sdtContent>
    </w:sdt>
    <w:p w:rsidR="00456ECA" w:rsidRPr="006E1F0F" w:rsidRDefault="00DB5B95" w:rsidP="00562315">
      <w:pPr>
        <w:tabs>
          <w:tab w:val="left" w:pos="2843"/>
        </w:tabs>
        <w:spacing w:line="240" w:lineRule="auto"/>
        <w:contextualSpacing/>
        <w:jc w:val="center"/>
        <w:rPr>
          <w:sz w:val="24"/>
        </w:rPr>
      </w:pPr>
      <w:sdt>
        <w:sdtPr>
          <w:rPr>
            <w:sz w:val="24"/>
          </w:rPr>
          <w:alias w:val="Confidencialidad"/>
          <w:tag w:val="Confidencialidad"/>
          <w:id w:val="1447896894"/>
          <w:placeholder>
            <w:docPart w:val="249DBBCB690C48B9AB251C4FA474923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456ECA" w:rsidRPr="006E1F0F">
            <w:rPr>
              <w:sz w:val="24"/>
            </w:rPr>
            <w:t>SGF-PUBLICO</w:t>
          </w:r>
        </w:sdtContent>
      </w:sdt>
    </w:p>
    <w:p w:rsidR="00562198" w:rsidRPr="006E1F0F" w:rsidRDefault="00562198" w:rsidP="004276EE">
      <w:pPr>
        <w:widowControl w:val="0"/>
        <w:spacing w:before="120" w:after="120" w:line="240" w:lineRule="auto"/>
        <w:ind w:left="34" w:right="86"/>
        <w:outlineLvl w:val="0"/>
        <w:rPr>
          <w:b/>
          <w:sz w:val="24"/>
          <w:lang w:val="es-CR"/>
        </w:rPr>
      </w:pPr>
      <w:r w:rsidRPr="006E1F0F">
        <w:rPr>
          <w:b/>
          <w:sz w:val="24"/>
          <w:lang w:val="es-CR"/>
        </w:rPr>
        <w:t>Dirigida a:</w:t>
      </w:r>
    </w:p>
    <w:p w:rsidR="00562198" w:rsidRPr="006E1F0F" w:rsidRDefault="00085FEC" w:rsidP="004276EE">
      <w:pPr>
        <w:widowControl w:val="0"/>
        <w:spacing w:before="120" w:after="120" w:line="240" w:lineRule="auto"/>
        <w:ind w:left="34" w:right="86"/>
        <w:outlineLvl w:val="0"/>
        <w:rPr>
          <w:sz w:val="24"/>
          <w:lang w:val="es-CR"/>
        </w:rPr>
      </w:pPr>
      <w:r w:rsidRPr="006E1F0F">
        <w:rPr>
          <w:sz w:val="24"/>
          <w:lang w:val="es-CR"/>
        </w:rPr>
        <w:t xml:space="preserve">Entidades autorizadas según el artículo 6 </w:t>
      </w:r>
      <w:r w:rsidR="00046B85" w:rsidRPr="006E1F0F">
        <w:rPr>
          <w:sz w:val="24"/>
          <w:lang w:val="es-CR"/>
        </w:rPr>
        <w:t>“</w:t>
      </w:r>
      <w:r w:rsidR="00046B85" w:rsidRPr="006E1F0F">
        <w:rPr>
          <w:i/>
          <w:sz w:val="24"/>
          <w:lang w:val="es-CR"/>
        </w:rPr>
        <w:t>Entidades Autorizadas</w:t>
      </w:r>
      <w:r w:rsidR="00046B85" w:rsidRPr="006E1F0F">
        <w:rPr>
          <w:sz w:val="24"/>
          <w:lang w:val="es-CR"/>
        </w:rPr>
        <w:t xml:space="preserve">” </w:t>
      </w:r>
      <w:r w:rsidRPr="006E1F0F">
        <w:rPr>
          <w:sz w:val="24"/>
          <w:lang w:val="es-CR"/>
        </w:rPr>
        <w:t>del “</w:t>
      </w:r>
      <w:r w:rsidRPr="006E1F0F">
        <w:rPr>
          <w:i/>
          <w:sz w:val="24"/>
          <w:lang w:val="es-CR"/>
        </w:rPr>
        <w:t>Reglamento para las operaciones de crédito de última instancia en moneda nacional</w:t>
      </w:r>
      <w:r w:rsidR="004276EE" w:rsidRPr="006E1F0F">
        <w:rPr>
          <w:sz w:val="24"/>
          <w:lang w:val="es-CR"/>
        </w:rPr>
        <w:t>”:</w:t>
      </w:r>
    </w:p>
    <w:p w:rsidR="00A6227C" w:rsidRPr="006E1F0F" w:rsidRDefault="00A6227C" w:rsidP="00A6227C">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Bancos Comerciales del Estado</w:t>
      </w:r>
    </w:p>
    <w:p w:rsidR="00A6227C" w:rsidRPr="006E1F0F" w:rsidRDefault="00A6227C" w:rsidP="00A6227C">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Bancos Creados por Leyes Especiales</w:t>
      </w:r>
    </w:p>
    <w:p w:rsidR="00A6227C" w:rsidRPr="006E1F0F" w:rsidRDefault="00A6227C" w:rsidP="00A6227C">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Bancos Privados</w:t>
      </w:r>
    </w:p>
    <w:p w:rsidR="00A6227C" w:rsidRPr="006E1F0F" w:rsidRDefault="00A6227C" w:rsidP="00A6227C">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Empresas Financieras no Bancarias</w:t>
      </w:r>
    </w:p>
    <w:p w:rsidR="00A6227C" w:rsidRPr="006E1F0F" w:rsidRDefault="00A6227C" w:rsidP="00A6227C">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Otras Entidades Financieras</w:t>
      </w:r>
    </w:p>
    <w:p w:rsidR="00A6227C" w:rsidRPr="006E1F0F" w:rsidRDefault="00A6227C" w:rsidP="00A6227C">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Entidades Autorizadas del Sistema Financiera Nacional para la Vivienda</w:t>
      </w:r>
    </w:p>
    <w:p w:rsidR="00562198" w:rsidRPr="006E1F0F" w:rsidRDefault="00562198" w:rsidP="004276EE">
      <w:pPr>
        <w:pStyle w:val="NormalWeb"/>
        <w:spacing w:before="120" w:beforeAutospacing="0" w:after="120" w:afterAutospacing="0"/>
        <w:jc w:val="both"/>
        <w:rPr>
          <w:rFonts w:ascii="Cambria" w:hAnsi="Cambria"/>
          <w:sz w:val="24"/>
          <w:szCs w:val="24"/>
        </w:rPr>
      </w:pPr>
      <w:r w:rsidRPr="006E1F0F">
        <w:rPr>
          <w:rFonts w:ascii="Cambria" w:hAnsi="Cambria"/>
          <w:b/>
          <w:sz w:val="24"/>
          <w:szCs w:val="24"/>
        </w:rPr>
        <w:t>Asunto:</w:t>
      </w:r>
      <w:r w:rsidRPr="006E1F0F">
        <w:rPr>
          <w:rFonts w:ascii="Cambria" w:hAnsi="Cambria"/>
          <w:sz w:val="24"/>
          <w:szCs w:val="24"/>
        </w:rPr>
        <w:t xml:space="preserve"> Oficialización de la clase de Datos PUI del Manual de Información de SICVECA.</w:t>
      </w:r>
    </w:p>
    <w:p w:rsidR="007C0C0B" w:rsidRPr="006E1F0F" w:rsidRDefault="007C0C0B" w:rsidP="004276EE">
      <w:pPr>
        <w:spacing w:before="120" w:after="120" w:line="240" w:lineRule="auto"/>
        <w:rPr>
          <w:color w:val="000000"/>
          <w:sz w:val="24"/>
          <w:lang w:eastAsia="es-ES"/>
        </w:rPr>
      </w:pPr>
      <w:r w:rsidRPr="006E1F0F">
        <w:rPr>
          <w:color w:val="000000"/>
          <w:sz w:val="24"/>
          <w:lang w:eastAsia="es-ES"/>
        </w:rPr>
        <w:t>El Intendente General de Entidades Financieras,</w:t>
      </w:r>
    </w:p>
    <w:p w:rsidR="007C0C0B" w:rsidRPr="006E1F0F" w:rsidRDefault="007C0C0B" w:rsidP="004276EE">
      <w:pPr>
        <w:spacing w:before="120" w:after="120" w:line="240" w:lineRule="auto"/>
        <w:ind w:left="33"/>
        <w:rPr>
          <w:sz w:val="24"/>
        </w:rPr>
      </w:pPr>
      <w:r w:rsidRPr="006E1F0F">
        <w:rPr>
          <w:b/>
          <w:sz w:val="24"/>
        </w:rPr>
        <w:t>Considerando que</w:t>
      </w:r>
      <w:r w:rsidRPr="006E1F0F">
        <w:rPr>
          <w:sz w:val="24"/>
        </w:rPr>
        <w:t>:</w:t>
      </w:r>
    </w:p>
    <w:p w:rsidR="00D70119" w:rsidRPr="006E1F0F" w:rsidRDefault="007C0C0B" w:rsidP="004276EE">
      <w:pPr>
        <w:pStyle w:val="Prrafodelista"/>
        <w:numPr>
          <w:ilvl w:val="0"/>
          <w:numId w:val="15"/>
        </w:numPr>
        <w:spacing w:before="120" w:after="120" w:line="240" w:lineRule="auto"/>
        <w:ind w:left="393"/>
        <w:contextualSpacing w:val="0"/>
        <w:jc w:val="both"/>
        <w:rPr>
          <w:rFonts w:ascii="Cambria" w:hAnsi="Cambria" w:cs="Times New Roman"/>
          <w:sz w:val="24"/>
          <w:szCs w:val="24"/>
        </w:rPr>
      </w:pPr>
      <w:r w:rsidRPr="006E1F0F">
        <w:rPr>
          <w:rFonts w:ascii="Cambria" w:hAnsi="Cambria" w:cs="Times New Roman"/>
          <w:sz w:val="24"/>
          <w:szCs w:val="24"/>
        </w:rPr>
        <w:t xml:space="preserve">El </w:t>
      </w:r>
      <w:r w:rsidR="00433B78" w:rsidRPr="006E1F0F">
        <w:rPr>
          <w:rFonts w:ascii="Cambria" w:hAnsi="Cambria" w:cs="Times New Roman"/>
          <w:sz w:val="24"/>
          <w:szCs w:val="24"/>
        </w:rPr>
        <w:t xml:space="preserve">inciso d) del </w:t>
      </w:r>
      <w:r w:rsidRPr="006E1F0F">
        <w:rPr>
          <w:rFonts w:ascii="Cambria" w:hAnsi="Cambria" w:cs="Times New Roman"/>
          <w:sz w:val="24"/>
          <w:szCs w:val="24"/>
        </w:rPr>
        <w:t xml:space="preserve">artículo 2 de la </w:t>
      </w:r>
      <w:r w:rsidR="00433B78" w:rsidRPr="006E1F0F">
        <w:rPr>
          <w:rFonts w:ascii="Cambria" w:hAnsi="Cambria" w:cs="Times New Roman"/>
          <w:sz w:val="24"/>
          <w:szCs w:val="24"/>
        </w:rPr>
        <w:t>“</w:t>
      </w:r>
      <w:r w:rsidRPr="006E1F0F">
        <w:rPr>
          <w:rFonts w:ascii="Cambria" w:hAnsi="Cambria" w:cs="Times New Roman"/>
          <w:sz w:val="24"/>
          <w:szCs w:val="24"/>
        </w:rPr>
        <w:t>Ley Orgánica del Banco Central de Costa Rica</w:t>
      </w:r>
      <w:r w:rsidR="00433B78" w:rsidRPr="006E1F0F">
        <w:rPr>
          <w:rFonts w:ascii="Cambria" w:hAnsi="Cambria" w:cs="Times New Roman"/>
          <w:sz w:val="24"/>
          <w:szCs w:val="24"/>
        </w:rPr>
        <w:t>”</w:t>
      </w:r>
      <w:r w:rsidRPr="006E1F0F">
        <w:rPr>
          <w:rFonts w:ascii="Cambria" w:hAnsi="Cambria" w:cs="Times New Roman"/>
          <w:sz w:val="24"/>
          <w:szCs w:val="24"/>
        </w:rPr>
        <w:t xml:space="preserve">, Ley 7558, establece como </w:t>
      </w:r>
      <w:r w:rsidR="00433B78" w:rsidRPr="006E1F0F">
        <w:rPr>
          <w:rFonts w:ascii="Cambria" w:hAnsi="Cambria" w:cs="Times New Roman"/>
          <w:sz w:val="24"/>
          <w:szCs w:val="24"/>
        </w:rPr>
        <w:t>objetivo subsidiario del Banco Central</w:t>
      </w:r>
      <w:r w:rsidR="00D70119" w:rsidRPr="006E1F0F">
        <w:rPr>
          <w:rFonts w:ascii="Cambria" w:hAnsi="Cambria" w:cs="Times New Roman"/>
          <w:sz w:val="24"/>
          <w:szCs w:val="24"/>
        </w:rPr>
        <w:t xml:space="preserve"> pro</w:t>
      </w:r>
      <w:r w:rsidR="00433B78" w:rsidRPr="006E1F0F">
        <w:rPr>
          <w:rFonts w:ascii="Cambria" w:hAnsi="Cambria" w:cs="Times New Roman"/>
          <w:sz w:val="24"/>
          <w:szCs w:val="24"/>
        </w:rPr>
        <w:t>mover un sistema de intermediación financiera estable, eficiente y competitivo.</w:t>
      </w:r>
      <w:r w:rsidR="00D70119" w:rsidRPr="006E1F0F">
        <w:rPr>
          <w:rFonts w:ascii="Cambria" w:hAnsi="Cambria" w:cs="Times New Roman"/>
          <w:sz w:val="24"/>
          <w:szCs w:val="24"/>
        </w:rPr>
        <w:t xml:space="preserve"> Además, entre sus funciones esenciales, el inciso e) del artículo 3 de la Ley 7558 dispone la promoción de condiciones favorables al robustecimiento, la liquidez, la solvencia y el buen funcionamiento del Sistema Financiero Nacional.</w:t>
      </w:r>
    </w:p>
    <w:p w:rsidR="007C0C0B" w:rsidRPr="006E1F0F" w:rsidRDefault="007D7FAE" w:rsidP="004276EE">
      <w:pPr>
        <w:pStyle w:val="Prrafodelista"/>
        <w:numPr>
          <w:ilvl w:val="0"/>
          <w:numId w:val="15"/>
        </w:numPr>
        <w:spacing w:before="120" w:after="120" w:line="240" w:lineRule="auto"/>
        <w:ind w:left="393"/>
        <w:contextualSpacing w:val="0"/>
        <w:jc w:val="both"/>
        <w:rPr>
          <w:rFonts w:ascii="Cambria" w:hAnsi="Cambria" w:cs="Times New Roman"/>
          <w:sz w:val="24"/>
          <w:szCs w:val="24"/>
        </w:rPr>
      </w:pPr>
      <w:r w:rsidRPr="006E1F0F">
        <w:rPr>
          <w:rFonts w:ascii="Cambria" w:hAnsi="Cambria" w:cs="Times New Roman"/>
          <w:sz w:val="24"/>
          <w:szCs w:val="24"/>
        </w:rPr>
        <w:t xml:space="preserve">Mediante artículo 3 del acta de la sesión 5834-2018 del 20 de julio de 2018 la Junta Directiva del </w:t>
      </w:r>
      <w:r w:rsidR="007C0C0B" w:rsidRPr="006E1F0F">
        <w:rPr>
          <w:rFonts w:ascii="Cambria" w:hAnsi="Cambria" w:cs="Times New Roman"/>
          <w:sz w:val="24"/>
          <w:szCs w:val="24"/>
        </w:rPr>
        <w:t>Banco Central de Costa Rica (BCCR) aprobó</w:t>
      </w:r>
      <w:r w:rsidRPr="006E1F0F">
        <w:rPr>
          <w:rFonts w:ascii="Cambria" w:hAnsi="Cambria" w:cs="Times New Roman"/>
          <w:sz w:val="24"/>
          <w:szCs w:val="24"/>
        </w:rPr>
        <w:t xml:space="preserve"> </w:t>
      </w:r>
      <w:r w:rsidR="007C0C0B" w:rsidRPr="006E1F0F">
        <w:rPr>
          <w:rFonts w:ascii="Cambria" w:hAnsi="Cambria" w:cs="Times New Roman"/>
          <w:sz w:val="24"/>
          <w:szCs w:val="24"/>
        </w:rPr>
        <w:t xml:space="preserve">el </w:t>
      </w:r>
      <w:r w:rsidRPr="006E1F0F">
        <w:rPr>
          <w:rFonts w:ascii="Cambria" w:hAnsi="Cambria" w:cs="Times New Roman"/>
          <w:i/>
          <w:sz w:val="24"/>
          <w:szCs w:val="24"/>
        </w:rPr>
        <w:t>“</w:t>
      </w:r>
      <w:r w:rsidR="007C0C0B" w:rsidRPr="006E1F0F">
        <w:rPr>
          <w:rFonts w:ascii="Cambria" w:hAnsi="Cambria" w:cs="Times New Roman"/>
          <w:i/>
          <w:sz w:val="24"/>
          <w:szCs w:val="24"/>
        </w:rPr>
        <w:t>Reglamento para las operaciones de crédito de última instancia en moneda nacional</w:t>
      </w:r>
      <w:r w:rsidRPr="006E1F0F">
        <w:rPr>
          <w:rFonts w:ascii="Cambria" w:hAnsi="Cambria" w:cs="Times New Roman"/>
          <w:i/>
          <w:sz w:val="24"/>
          <w:szCs w:val="24"/>
        </w:rPr>
        <w:t>”</w:t>
      </w:r>
      <w:r w:rsidR="007C0C0B" w:rsidRPr="006E1F0F">
        <w:rPr>
          <w:rFonts w:ascii="Cambria" w:hAnsi="Cambria" w:cs="Times New Roman"/>
          <w:sz w:val="24"/>
          <w:szCs w:val="24"/>
        </w:rPr>
        <w:t>, el cual dota al Sistema Financiero Nacional del marco normativo, procedimientos y recursos dispuestos por el Banco, para apoyar a entidades financieras solventes que enfrenten problemas transitorios de liquidez.</w:t>
      </w:r>
    </w:p>
    <w:p w:rsidR="007C0C0B" w:rsidRPr="006E1F0F" w:rsidRDefault="00D70119" w:rsidP="004276EE">
      <w:pPr>
        <w:pStyle w:val="Prrafodelista"/>
        <w:numPr>
          <w:ilvl w:val="0"/>
          <w:numId w:val="15"/>
        </w:numPr>
        <w:spacing w:before="120" w:after="120" w:line="240" w:lineRule="auto"/>
        <w:ind w:left="393"/>
        <w:contextualSpacing w:val="0"/>
        <w:jc w:val="both"/>
        <w:rPr>
          <w:rFonts w:ascii="Cambria" w:hAnsi="Cambria" w:cs="Times New Roman"/>
          <w:sz w:val="24"/>
          <w:szCs w:val="24"/>
        </w:rPr>
      </w:pPr>
      <w:r w:rsidRPr="006E1F0F">
        <w:rPr>
          <w:rFonts w:ascii="Cambria" w:hAnsi="Cambria" w:cs="Times New Roman"/>
          <w:sz w:val="24"/>
          <w:szCs w:val="24"/>
        </w:rPr>
        <w:t xml:space="preserve">El Reglamento mencionado </w:t>
      </w:r>
      <w:r w:rsidR="007C0C0B" w:rsidRPr="006E1F0F">
        <w:rPr>
          <w:rFonts w:ascii="Cambria" w:hAnsi="Cambria" w:cs="Times New Roman"/>
          <w:sz w:val="24"/>
          <w:szCs w:val="24"/>
        </w:rPr>
        <w:t xml:space="preserve">constituye uno de los componentes necesarios para fortalecer la red de seguridad financiera del país, y tiene como objetivo contribuir </w:t>
      </w:r>
      <w:r w:rsidRPr="006E1F0F">
        <w:rPr>
          <w:rFonts w:ascii="Cambria" w:hAnsi="Cambria" w:cs="Times New Roman"/>
          <w:sz w:val="24"/>
          <w:szCs w:val="24"/>
        </w:rPr>
        <w:t xml:space="preserve">con </w:t>
      </w:r>
      <w:r w:rsidR="007C0C0B" w:rsidRPr="006E1F0F">
        <w:rPr>
          <w:rFonts w:ascii="Cambria" w:hAnsi="Cambria" w:cs="Times New Roman"/>
          <w:sz w:val="24"/>
          <w:szCs w:val="24"/>
        </w:rPr>
        <w:t>la estabilidad del sistema financiero y la protección de los ahorrantes.</w:t>
      </w:r>
    </w:p>
    <w:p w:rsidR="009160F6" w:rsidRPr="006E1F0F" w:rsidRDefault="007C0C0B" w:rsidP="001D2C06">
      <w:pPr>
        <w:pStyle w:val="Prrafodelista"/>
        <w:numPr>
          <w:ilvl w:val="0"/>
          <w:numId w:val="15"/>
        </w:numPr>
        <w:spacing w:before="120" w:after="120" w:line="240" w:lineRule="auto"/>
        <w:ind w:left="393"/>
        <w:contextualSpacing w:val="0"/>
        <w:jc w:val="both"/>
        <w:rPr>
          <w:rFonts w:ascii="Cambria" w:hAnsi="Cambria" w:cs="Times New Roman"/>
          <w:sz w:val="24"/>
          <w:szCs w:val="24"/>
        </w:rPr>
      </w:pPr>
      <w:r w:rsidRPr="006E1F0F">
        <w:rPr>
          <w:rFonts w:ascii="Cambria" w:hAnsi="Cambria" w:cs="Times New Roman"/>
          <w:sz w:val="24"/>
          <w:szCs w:val="24"/>
        </w:rPr>
        <w:t>El Banco Central ofrecerá créditos de apoyo de liquidez en moneda nacional garantizados con cartera de crédito de l</w:t>
      </w:r>
      <w:r w:rsidR="00046B85" w:rsidRPr="006E1F0F">
        <w:rPr>
          <w:rFonts w:ascii="Cambria" w:hAnsi="Cambria" w:cs="Times New Roman"/>
          <w:sz w:val="24"/>
          <w:szCs w:val="24"/>
        </w:rPr>
        <w:t xml:space="preserve">as entidades </w:t>
      </w:r>
      <w:r w:rsidR="009160F6" w:rsidRPr="006E1F0F">
        <w:rPr>
          <w:rFonts w:ascii="Cambria" w:hAnsi="Cambria" w:cs="Times New Roman"/>
          <w:sz w:val="24"/>
          <w:szCs w:val="24"/>
        </w:rPr>
        <w:t>autorizadas</w:t>
      </w:r>
      <w:r w:rsidRPr="006E1F0F">
        <w:rPr>
          <w:rFonts w:ascii="Cambria" w:hAnsi="Cambria" w:cs="Times New Roman"/>
          <w:sz w:val="24"/>
          <w:szCs w:val="24"/>
        </w:rPr>
        <w:t>.</w:t>
      </w:r>
      <w:r w:rsidR="009160F6" w:rsidRPr="006E1F0F">
        <w:rPr>
          <w:rFonts w:ascii="Cambria" w:hAnsi="Cambria" w:cs="Times New Roman"/>
          <w:sz w:val="24"/>
          <w:szCs w:val="24"/>
        </w:rPr>
        <w:t xml:space="preserve"> Entr</w:t>
      </w:r>
      <w:r w:rsidR="005A5E40" w:rsidRPr="006E1F0F">
        <w:rPr>
          <w:rFonts w:ascii="Cambria" w:hAnsi="Cambria" w:cs="Times New Roman"/>
          <w:sz w:val="24"/>
          <w:szCs w:val="24"/>
        </w:rPr>
        <w:t>e</w:t>
      </w:r>
      <w:r w:rsidR="009160F6" w:rsidRPr="006E1F0F">
        <w:rPr>
          <w:rFonts w:ascii="Cambria" w:hAnsi="Cambria" w:cs="Times New Roman"/>
          <w:sz w:val="24"/>
          <w:szCs w:val="24"/>
        </w:rPr>
        <w:t xml:space="preserve"> otros requisitos, el numeral 6 del </w:t>
      </w:r>
      <w:r w:rsidR="00061345" w:rsidRPr="006E1F0F">
        <w:rPr>
          <w:rFonts w:ascii="Cambria" w:hAnsi="Cambria" w:cs="Times New Roman"/>
          <w:sz w:val="24"/>
          <w:szCs w:val="24"/>
        </w:rPr>
        <w:t>a</w:t>
      </w:r>
      <w:r w:rsidR="009160F6" w:rsidRPr="006E1F0F">
        <w:rPr>
          <w:rFonts w:ascii="Cambria" w:hAnsi="Cambria" w:cs="Times New Roman"/>
          <w:sz w:val="24"/>
          <w:szCs w:val="24"/>
        </w:rPr>
        <w:t>rtículo 7 del Reglamento dispone que la entidad solicitante deberá haber suscrito un contrato de cesión de la garantía para respaldar el crédito solicitado, y el Banco Central deberá haber completado el correspondiente trámite de registro a su favor.</w:t>
      </w:r>
      <w:r w:rsidR="00061345" w:rsidRPr="006E1F0F">
        <w:rPr>
          <w:rFonts w:ascii="Cambria" w:hAnsi="Cambria" w:cs="Times New Roman"/>
          <w:sz w:val="24"/>
          <w:szCs w:val="24"/>
        </w:rPr>
        <w:t xml:space="preserve"> Los requisitos </w:t>
      </w:r>
      <w:r w:rsidR="006579C6" w:rsidRPr="006E1F0F">
        <w:rPr>
          <w:rFonts w:ascii="Cambria" w:hAnsi="Cambria" w:cs="Times New Roman"/>
          <w:sz w:val="24"/>
          <w:szCs w:val="24"/>
        </w:rPr>
        <w:t>que debe cumplir la cartera de crédito en garantía se establecen en el artículo 20 del Reglamento</w:t>
      </w:r>
      <w:r w:rsidR="004564F5" w:rsidRPr="006E1F0F">
        <w:rPr>
          <w:rFonts w:ascii="Cambria" w:hAnsi="Cambria" w:cs="Times New Roman"/>
          <w:sz w:val="24"/>
          <w:szCs w:val="24"/>
        </w:rPr>
        <w:t xml:space="preserve"> y en el </w:t>
      </w:r>
      <w:r w:rsidR="006579C6" w:rsidRPr="006E1F0F">
        <w:rPr>
          <w:rFonts w:ascii="Cambria" w:hAnsi="Cambria" w:cs="Times New Roman"/>
          <w:sz w:val="24"/>
          <w:szCs w:val="24"/>
        </w:rPr>
        <w:lastRenderedPageBreak/>
        <w:t xml:space="preserve">artículo 6 </w:t>
      </w:r>
      <w:r w:rsidR="004564F5" w:rsidRPr="006E1F0F">
        <w:rPr>
          <w:rFonts w:ascii="Cambria" w:hAnsi="Cambria" w:cs="Times New Roman"/>
          <w:sz w:val="24"/>
          <w:szCs w:val="24"/>
        </w:rPr>
        <w:t xml:space="preserve">se </w:t>
      </w:r>
      <w:r w:rsidR="006579C6" w:rsidRPr="006E1F0F">
        <w:rPr>
          <w:rFonts w:ascii="Cambria" w:hAnsi="Cambria" w:cs="Times New Roman"/>
          <w:sz w:val="24"/>
          <w:szCs w:val="24"/>
        </w:rPr>
        <w:t>establece la responsabilidad de la entidad por la exactitud y veracidad de esta información.</w:t>
      </w:r>
    </w:p>
    <w:p w:rsidR="00340631" w:rsidRPr="006E1F0F" w:rsidRDefault="00340631" w:rsidP="004276EE">
      <w:pPr>
        <w:pStyle w:val="Prrafodelista"/>
        <w:numPr>
          <w:ilvl w:val="0"/>
          <w:numId w:val="15"/>
        </w:numPr>
        <w:spacing w:before="120" w:after="120" w:line="240" w:lineRule="auto"/>
        <w:ind w:left="393"/>
        <w:contextualSpacing w:val="0"/>
        <w:jc w:val="both"/>
        <w:rPr>
          <w:rFonts w:ascii="Cambria" w:hAnsi="Cambria" w:cs="Times New Roman"/>
          <w:sz w:val="24"/>
          <w:szCs w:val="24"/>
        </w:rPr>
      </w:pPr>
      <w:r w:rsidRPr="006E1F0F">
        <w:rPr>
          <w:rFonts w:ascii="Cambria" w:hAnsi="Cambria" w:cs="Times New Roman"/>
          <w:sz w:val="24"/>
          <w:szCs w:val="24"/>
        </w:rPr>
        <w:t xml:space="preserve">De previo a </w:t>
      </w:r>
      <w:r w:rsidR="002908E3" w:rsidRPr="006E1F0F">
        <w:rPr>
          <w:rFonts w:ascii="Cambria" w:hAnsi="Cambria" w:cs="Times New Roman"/>
          <w:sz w:val="24"/>
          <w:szCs w:val="24"/>
        </w:rPr>
        <w:t xml:space="preserve">la </w:t>
      </w:r>
      <w:r w:rsidRPr="006E1F0F">
        <w:rPr>
          <w:rFonts w:ascii="Cambria" w:hAnsi="Cambria" w:cs="Times New Roman"/>
          <w:sz w:val="24"/>
          <w:szCs w:val="24"/>
        </w:rPr>
        <w:t xml:space="preserve">comunicación al Banco Central de Costa Rica del detalle de la cartera crediticia seleccionada </w:t>
      </w:r>
      <w:r w:rsidR="00E154D1" w:rsidRPr="006E1F0F">
        <w:rPr>
          <w:rFonts w:ascii="Cambria" w:hAnsi="Cambria" w:cs="Times New Roman"/>
          <w:sz w:val="24"/>
          <w:szCs w:val="24"/>
        </w:rPr>
        <w:t>por la entidad</w:t>
      </w:r>
      <w:r w:rsidRPr="006E1F0F">
        <w:rPr>
          <w:rFonts w:ascii="Cambria" w:hAnsi="Cambria" w:cs="Times New Roman"/>
          <w:sz w:val="24"/>
          <w:szCs w:val="24"/>
        </w:rPr>
        <w:t xml:space="preserve">, </w:t>
      </w:r>
      <w:r w:rsidR="002908E3" w:rsidRPr="006E1F0F">
        <w:rPr>
          <w:rFonts w:ascii="Cambria" w:hAnsi="Cambria" w:cs="Times New Roman"/>
          <w:sz w:val="24"/>
          <w:szCs w:val="24"/>
        </w:rPr>
        <w:t xml:space="preserve">ésta </w:t>
      </w:r>
      <w:r w:rsidRPr="006E1F0F">
        <w:rPr>
          <w:rFonts w:ascii="Cambria" w:hAnsi="Cambria" w:cs="Times New Roman"/>
          <w:sz w:val="24"/>
          <w:szCs w:val="24"/>
        </w:rPr>
        <w:t xml:space="preserve">deberá informar </w:t>
      </w:r>
      <w:r w:rsidR="0052211B" w:rsidRPr="006E1F0F">
        <w:rPr>
          <w:rFonts w:ascii="Cambria" w:hAnsi="Cambria" w:cs="Times New Roman"/>
          <w:sz w:val="24"/>
          <w:szCs w:val="24"/>
        </w:rPr>
        <w:t xml:space="preserve">a la SUGEF </w:t>
      </w:r>
      <w:r w:rsidRPr="006E1F0F">
        <w:rPr>
          <w:rFonts w:ascii="Cambria" w:hAnsi="Cambria" w:cs="Times New Roman"/>
          <w:sz w:val="24"/>
          <w:szCs w:val="24"/>
        </w:rPr>
        <w:t>la cartera seleccionada</w:t>
      </w:r>
      <w:r w:rsidR="0052211B" w:rsidRPr="006E1F0F">
        <w:rPr>
          <w:rFonts w:ascii="Cambria" w:hAnsi="Cambria" w:cs="Times New Roman"/>
          <w:sz w:val="24"/>
          <w:szCs w:val="24"/>
        </w:rPr>
        <w:t xml:space="preserve">, </w:t>
      </w:r>
      <w:r w:rsidRPr="006E1F0F">
        <w:rPr>
          <w:rFonts w:ascii="Cambria" w:hAnsi="Cambria" w:cs="Times New Roman"/>
          <w:sz w:val="24"/>
          <w:szCs w:val="24"/>
        </w:rPr>
        <w:t xml:space="preserve">mediante la clase de datos SICVECA “Préstamo de última instancia (PUI). La SUGEF llevará a cabo un proceso de validación automatizado de dicha cartera, mediante la constatación de que dicha cartera crediticia consta en las bases de datos de la SUGEF y que la misma fue reportada por la entidad de manera consistente con los requisitos establecidos en el artículo 20 del Reglamento, excepto los requisitos indicados en los incisos d) y </w:t>
      </w:r>
      <w:r w:rsidR="002908E3" w:rsidRPr="006E1F0F">
        <w:rPr>
          <w:rFonts w:ascii="Cambria" w:hAnsi="Cambria" w:cs="Times New Roman"/>
          <w:sz w:val="24"/>
          <w:szCs w:val="24"/>
        </w:rPr>
        <w:t>g</w:t>
      </w:r>
      <w:r w:rsidRPr="006E1F0F">
        <w:rPr>
          <w:rFonts w:ascii="Cambria" w:hAnsi="Cambria" w:cs="Times New Roman"/>
          <w:sz w:val="24"/>
          <w:szCs w:val="24"/>
        </w:rPr>
        <w:t>) que no constan en las bases de datos de la SUGEF.</w:t>
      </w:r>
    </w:p>
    <w:p w:rsidR="007C0C0B" w:rsidRPr="006E1F0F" w:rsidRDefault="007C0C0B" w:rsidP="004276EE">
      <w:pPr>
        <w:spacing w:before="120" w:after="120" w:line="240" w:lineRule="auto"/>
        <w:rPr>
          <w:sz w:val="24"/>
        </w:rPr>
      </w:pPr>
      <w:r w:rsidRPr="006E1F0F">
        <w:rPr>
          <w:b/>
          <w:sz w:val="24"/>
        </w:rPr>
        <w:t>Dispone</w:t>
      </w:r>
      <w:r w:rsidRPr="006E1F0F">
        <w:rPr>
          <w:sz w:val="24"/>
        </w:rPr>
        <w:t>:</w:t>
      </w:r>
    </w:p>
    <w:p w:rsidR="007C0C0B" w:rsidRPr="006E1F0F" w:rsidRDefault="007C0C0B" w:rsidP="004276EE">
      <w:pPr>
        <w:numPr>
          <w:ilvl w:val="0"/>
          <w:numId w:val="13"/>
        </w:numPr>
        <w:spacing w:before="120" w:after="120" w:line="240" w:lineRule="auto"/>
        <w:rPr>
          <w:sz w:val="24"/>
          <w:lang w:val="es-CR"/>
        </w:rPr>
      </w:pPr>
      <w:r w:rsidRPr="006E1F0F">
        <w:rPr>
          <w:sz w:val="24"/>
          <w:lang w:val="es-CR"/>
        </w:rPr>
        <w:t xml:space="preserve">La creación de una nueva clase de datos SICVECA, denominada “Préstamo de última instancia (PUI)”, de manera que la información de las garantías </w:t>
      </w:r>
      <w:r w:rsidR="00F15973" w:rsidRPr="006E1F0F">
        <w:rPr>
          <w:sz w:val="24"/>
          <w:lang w:val="es-CR"/>
        </w:rPr>
        <w:t xml:space="preserve">seleccionadas por la entidad </w:t>
      </w:r>
      <w:r w:rsidRPr="006E1F0F">
        <w:rPr>
          <w:sz w:val="24"/>
          <w:lang w:val="es-CR"/>
        </w:rPr>
        <w:t xml:space="preserve">que respaldarían los créditos de última Instancia sea </w:t>
      </w:r>
      <w:r w:rsidR="00F15973" w:rsidRPr="006E1F0F">
        <w:rPr>
          <w:sz w:val="24"/>
          <w:lang w:val="es-CR"/>
        </w:rPr>
        <w:t xml:space="preserve">informada </w:t>
      </w:r>
      <w:r w:rsidR="000E58FB" w:rsidRPr="006E1F0F">
        <w:rPr>
          <w:sz w:val="24"/>
          <w:lang w:val="es-CR"/>
        </w:rPr>
        <w:t xml:space="preserve">previamente </w:t>
      </w:r>
      <w:r w:rsidRPr="006E1F0F">
        <w:rPr>
          <w:sz w:val="24"/>
          <w:lang w:val="es-CR"/>
        </w:rPr>
        <w:t xml:space="preserve">a la </w:t>
      </w:r>
      <w:r w:rsidR="00F15973" w:rsidRPr="006E1F0F">
        <w:rPr>
          <w:sz w:val="24"/>
          <w:lang w:val="es-CR"/>
        </w:rPr>
        <w:t>S</w:t>
      </w:r>
      <w:r w:rsidRPr="006E1F0F">
        <w:rPr>
          <w:sz w:val="24"/>
          <w:lang w:val="es-CR"/>
        </w:rPr>
        <w:t xml:space="preserve">uperintendencia para su respectiva </w:t>
      </w:r>
      <w:r w:rsidR="00F15973" w:rsidRPr="006E1F0F">
        <w:rPr>
          <w:sz w:val="24"/>
          <w:lang w:val="es-CR"/>
        </w:rPr>
        <w:t>validación</w:t>
      </w:r>
      <w:r w:rsidR="00EA4A2B" w:rsidRPr="006E1F0F">
        <w:rPr>
          <w:sz w:val="24"/>
          <w:lang w:val="es-CR"/>
        </w:rPr>
        <w:t>, según el alcance indicado en esta Circular</w:t>
      </w:r>
      <w:r w:rsidRPr="006E1F0F">
        <w:rPr>
          <w:sz w:val="24"/>
          <w:lang w:val="es-CR"/>
        </w:rPr>
        <w:t>.</w:t>
      </w:r>
    </w:p>
    <w:p w:rsidR="007C0C0B" w:rsidRPr="006E1F0F" w:rsidRDefault="007C0C0B" w:rsidP="004276EE">
      <w:pPr>
        <w:numPr>
          <w:ilvl w:val="0"/>
          <w:numId w:val="13"/>
        </w:numPr>
        <w:spacing w:before="120" w:after="120" w:line="240" w:lineRule="auto"/>
        <w:rPr>
          <w:sz w:val="24"/>
          <w:lang w:val="es-CR"/>
        </w:rPr>
      </w:pPr>
      <w:r w:rsidRPr="006E1F0F">
        <w:rPr>
          <w:sz w:val="24"/>
          <w:lang w:val="es-CR"/>
        </w:rPr>
        <w:t>La documentación relacionada con la clase de datos “Préstamo de última instancia (PUI)” se encuentra publicada en el sitio WEB oficial de la Superintendencia, en el sub</w:t>
      </w:r>
      <w:r w:rsidR="004564F5" w:rsidRPr="006E1F0F">
        <w:rPr>
          <w:sz w:val="24"/>
          <w:lang w:val="es-CR"/>
        </w:rPr>
        <w:t>-</w:t>
      </w:r>
      <w:r w:rsidRPr="006E1F0F">
        <w:rPr>
          <w:sz w:val="24"/>
          <w:lang w:val="es-CR"/>
        </w:rPr>
        <w:t>sitio denominado “Manuales” como una de las clases de datos del manual de información SICVECA, la documentación incluye:</w:t>
      </w:r>
    </w:p>
    <w:p w:rsidR="007C0C0B" w:rsidRPr="006E1F0F" w:rsidRDefault="007C0C0B" w:rsidP="00EA4A2B">
      <w:pPr>
        <w:numPr>
          <w:ilvl w:val="0"/>
          <w:numId w:val="17"/>
        </w:numPr>
        <w:spacing w:before="120" w:after="120" w:line="240" w:lineRule="auto"/>
        <w:rPr>
          <w:sz w:val="24"/>
          <w:lang w:val="es-CR"/>
        </w:rPr>
      </w:pPr>
      <w:r w:rsidRPr="006E1F0F">
        <w:rPr>
          <w:sz w:val="24"/>
          <w:lang w:val="es-CR"/>
        </w:rPr>
        <w:t>El documento XML</w:t>
      </w:r>
    </w:p>
    <w:p w:rsidR="007C0C0B" w:rsidRPr="006E1F0F" w:rsidRDefault="007C0C0B" w:rsidP="00EA4A2B">
      <w:pPr>
        <w:numPr>
          <w:ilvl w:val="0"/>
          <w:numId w:val="17"/>
        </w:numPr>
        <w:spacing w:before="120" w:after="120" w:line="240" w:lineRule="auto"/>
        <w:rPr>
          <w:sz w:val="24"/>
          <w:lang w:val="es-CR"/>
        </w:rPr>
      </w:pPr>
      <w:r w:rsidRPr="006E1F0F">
        <w:rPr>
          <w:sz w:val="24"/>
          <w:lang w:val="es-CR"/>
        </w:rPr>
        <w:t xml:space="preserve">Los archivos XSD y XML </w:t>
      </w:r>
    </w:p>
    <w:p w:rsidR="007C0C0B" w:rsidRPr="006E1F0F" w:rsidRDefault="007C0C0B" w:rsidP="004276EE">
      <w:pPr>
        <w:numPr>
          <w:ilvl w:val="0"/>
          <w:numId w:val="13"/>
        </w:numPr>
        <w:spacing w:before="120" w:after="120" w:line="240" w:lineRule="auto"/>
        <w:rPr>
          <w:sz w:val="24"/>
          <w:lang w:val="es-CR"/>
        </w:rPr>
      </w:pPr>
      <w:r w:rsidRPr="006E1F0F">
        <w:rPr>
          <w:sz w:val="24"/>
          <w:lang w:val="es-CR"/>
        </w:rPr>
        <w:t>Los firmantes de esta nueva clase de datos serán los mismos que ya están como firmantes en la clase de datos Crediticia, básicamente Gerente General y Contador General, y sus suplentes.</w:t>
      </w:r>
    </w:p>
    <w:p w:rsidR="00EA4A2B" w:rsidRDefault="00EA4A2B" w:rsidP="00EA4A2B">
      <w:pPr>
        <w:numPr>
          <w:ilvl w:val="0"/>
          <w:numId w:val="13"/>
        </w:numPr>
        <w:spacing w:before="120" w:after="120" w:line="240" w:lineRule="auto"/>
        <w:rPr>
          <w:sz w:val="24"/>
          <w:lang w:val="es-CR"/>
        </w:rPr>
      </w:pPr>
      <w:r w:rsidRPr="006E1F0F">
        <w:rPr>
          <w:sz w:val="24"/>
          <w:lang w:val="es-CR"/>
        </w:rPr>
        <w:t xml:space="preserve">Las consultas técnicas deben remitirse al correo electrónico </w:t>
      </w:r>
      <w:hyperlink r:id="rId14" w:history="1">
        <w:r w:rsidR="006E1F0F" w:rsidRPr="00ED6106">
          <w:rPr>
            <w:rStyle w:val="Hipervnculo"/>
            <w:sz w:val="24"/>
            <w:lang w:val="es-CR"/>
          </w:rPr>
          <w:t>consultassicvecacredito@sugef.fi.cr</w:t>
        </w:r>
      </w:hyperlink>
      <w:r w:rsidRPr="006E1F0F">
        <w:rPr>
          <w:sz w:val="24"/>
          <w:lang w:val="es-CR"/>
        </w:rPr>
        <w:t xml:space="preserve">, y las consultas generales deben remitirse al correo electrónico </w:t>
      </w:r>
      <w:hyperlink r:id="rId15" w:history="1">
        <w:r w:rsidRPr="006E1F0F">
          <w:rPr>
            <w:sz w:val="24"/>
            <w:u w:val="single"/>
            <w:lang w:val="es-CR"/>
          </w:rPr>
          <w:t>sugefcr@sugef.fi.cr</w:t>
        </w:r>
      </w:hyperlink>
    </w:p>
    <w:p w:rsidR="007C0C0B" w:rsidRPr="006E1F0F" w:rsidRDefault="007C0C0B" w:rsidP="00EA4A2B">
      <w:pPr>
        <w:spacing w:before="120" w:after="120" w:line="240" w:lineRule="auto"/>
        <w:rPr>
          <w:sz w:val="24"/>
          <w:lang w:val="es-CR"/>
        </w:rPr>
      </w:pPr>
      <w:r w:rsidRPr="006E1F0F">
        <w:rPr>
          <w:sz w:val="24"/>
          <w:lang w:val="es-CR"/>
        </w:rPr>
        <w:t xml:space="preserve">La plataforma tecnológica para el envío de dicho XML </w:t>
      </w:r>
      <w:r w:rsidR="00EA4A2B" w:rsidRPr="006E1F0F">
        <w:rPr>
          <w:sz w:val="24"/>
          <w:lang w:val="es-CR"/>
        </w:rPr>
        <w:t xml:space="preserve">estará </w:t>
      </w:r>
      <w:r w:rsidRPr="006E1F0F">
        <w:rPr>
          <w:sz w:val="24"/>
          <w:lang w:val="es-CR"/>
        </w:rPr>
        <w:t xml:space="preserve">habilitada a partir del día martes </w:t>
      </w:r>
      <w:r w:rsidRPr="006E1F0F">
        <w:rPr>
          <w:b/>
          <w:sz w:val="24"/>
          <w:lang w:val="es-CR"/>
        </w:rPr>
        <w:t>05 de mayo del 2020.</w:t>
      </w:r>
    </w:p>
    <w:p w:rsidR="006E1F0F" w:rsidRDefault="006E1F0F" w:rsidP="006E1F0F">
      <w:pPr>
        <w:pStyle w:val="Texto"/>
        <w:spacing w:before="0" w:after="0" w:line="240" w:lineRule="auto"/>
        <w:contextualSpacing/>
        <w:rPr>
          <w:sz w:val="24"/>
        </w:rPr>
      </w:pPr>
      <w:r w:rsidRPr="006E1F0F">
        <w:rPr>
          <w:noProof/>
          <w:sz w:val="24"/>
          <w:lang w:val="es-CR" w:eastAsia="es-CR"/>
        </w:rPr>
        <w:drawing>
          <wp:anchor distT="0" distB="0" distL="114300" distR="114300" simplePos="0" relativeHeight="251659264" behindDoc="1" locked="0" layoutInCell="1" allowOverlap="1" wp14:anchorId="424B41E9" wp14:editId="0D105350">
            <wp:simplePos x="0" y="0"/>
            <wp:positionH relativeFrom="column">
              <wp:posOffset>-59055</wp:posOffset>
            </wp:positionH>
            <wp:positionV relativeFrom="paragraph">
              <wp:posOffset>186055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562315" w:rsidRPr="006E1F0F">
        <w:rPr>
          <w:sz w:val="24"/>
        </w:rPr>
        <w:t>Atentamente,</w:t>
      </w:r>
    </w:p>
    <w:p w:rsidR="00562315" w:rsidRPr="006E1F0F" w:rsidRDefault="00562315" w:rsidP="006E1F0F">
      <w:pPr>
        <w:pStyle w:val="Texto"/>
        <w:spacing w:before="0" w:after="0" w:line="240" w:lineRule="auto"/>
        <w:contextualSpacing/>
        <w:rPr>
          <w:sz w:val="24"/>
        </w:rPr>
      </w:pPr>
    </w:p>
    <w:p w:rsidR="00562315" w:rsidRPr="006E1F0F" w:rsidRDefault="00562315" w:rsidP="00562315">
      <w:pPr>
        <w:spacing w:line="240" w:lineRule="auto"/>
        <w:contextualSpacing/>
        <w:rPr>
          <w:sz w:val="24"/>
        </w:rPr>
      </w:pPr>
    </w:p>
    <w:p w:rsidR="00562315" w:rsidRPr="006E1F0F" w:rsidRDefault="002A3CD1" w:rsidP="00562315">
      <w:pPr>
        <w:spacing w:line="240" w:lineRule="auto"/>
        <w:contextualSpacing/>
        <w:rPr>
          <w:sz w:val="24"/>
        </w:rPr>
      </w:pPr>
      <w:r w:rsidRPr="006E1F0F">
        <w:rPr>
          <w:sz w:val="24"/>
        </w:rPr>
        <w:t>José Armando Fallas Martínez</w:t>
      </w:r>
    </w:p>
    <w:p w:rsidR="00562315" w:rsidRPr="006E1F0F" w:rsidRDefault="002A3CD1" w:rsidP="00562315">
      <w:pPr>
        <w:spacing w:line="240" w:lineRule="auto"/>
        <w:contextualSpacing/>
        <w:rPr>
          <w:sz w:val="24"/>
        </w:rPr>
      </w:pPr>
      <w:r w:rsidRPr="006E1F0F">
        <w:rPr>
          <w:b/>
          <w:sz w:val="24"/>
        </w:rPr>
        <w:t>I</w:t>
      </w:r>
      <w:r w:rsidR="00562315" w:rsidRPr="006E1F0F">
        <w:rPr>
          <w:b/>
          <w:sz w:val="24"/>
        </w:rPr>
        <w:t>ntendente</w:t>
      </w:r>
      <w:r w:rsidRPr="006E1F0F">
        <w:rPr>
          <w:b/>
          <w:sz w:val="24"/>
        </w:rPr>
        <w:t xml:space="preserve"> General</w:t>
      </w:r>
    </w:p>
    <w:p w:rsidR="006E1F0F" w:rsidRDefault="006E1F0F" w:rsidP="005352C6">
      <w:pPr>
        <w:spacing w:before="120" w:after="120" w:line="240" w:lineRule="auto"/>
        <w:contextualSpacing/>
        <w:rPr>
          <w:rFonts w:eastAsia="Calibri"/>
          <w:b/>
          <w:bCs/>
          <w:sz w:val="20"/>
          <w:lang w:val="es-CR"/>
        </w:rPr>
      </w:pPr>
    </w:p>
    <w:p w:rsidR="00AF06C5" w:rsidRPr="006E1F0F" w:rsidRDefault="00562315" w:rsidP="005352C6">
      <w:pPr>
        <w:spacing w:before="120" w:after="120" w:line="240" w:lineRule="auto"/>
        <w:contextualSpacing/>
        <w:rPr>
          <w:sz w:val="20"/>
        </w:rPr>
      </w:pPr>
      <w:r w:rsidRPr="006E1F0F">
        <w:rPr>
          <w:rFonts w:eastAsia="Calibri"/>
          <w:b/>
          <w:bCs/>
          <w:sz w:val="20"/>
          <w:lang w:val="es-CR"/>
        </w:rPr>
        <w:t>JSC</w:t>
      </w:r>
      <w:r w:rsidR="00562198" w:rsidRPr="006E1F0F">
        <w:rPr>
          <w:rFonts w:eastAsia="Calibri"/>
          <w:b/>
          <w:bCs/>
          <w:sz w:val="20"/>
          <w:lang w:val="es-CR"/>
        </w:rPr>
        <w:t xml:space="preserve"> </w:t>
      </w:r>
      <w:r w:rsidRPr="006E1F0F">
        <w:rPr>
          <w:rFonts w:eastAsia="Calibri"/>
          <w:b/>
          <w:bCs/>
          <w:sz w:val="20"/>
          <w:lang w:val="es-CR"/>
        </w:rPr>
        <w:t>/gvl*</w:t>
      </w:r>
    </w:p>
    <w:sectPr w:rsidR="00AF06C5" w:rsidRPr="006E1F0F">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95" w:rsidRDefault="00DB5B95" w:rsidP="009349F3">
      <w:pPr>
        <w:spacing w:line="240" w:lineRule="auto"/>
      </w:pPr>
      <w:r>
        <w:separator/>
      </w:r>
    </w:p>
  </w:endnote>
  <w:endnote w:type="continuationSeparator" w:id="0">
    <w:p w:rsidR="00DB5B95" w:rsidRDefault="00DB5B9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rsidTr="00BA2E27">
      <w:tc>
        <w:tcPr>
          <w:tcW w:w="2942" w:type="dxa"/>
        </w:tcPr>
        <w:p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00517D62" w:rsidRPr="009349F3" w:rsidRDefault="00517D62">
          <w:pPr>
            <w:pStyle w:val="Piedepgina"/>
            <w:rPr>
              <w:b/>
              <w:color w:val="7F7F7F" w:themeColor="text1" w:themeTint="80"/>
              <w:sz w:val="16"/>
              <w:szCs w:val="16"/>
            </w:rPr>
          </w:pPr>
        </w:p>
      </w:tc>
      <w:tc>
        <w:tcPr>
          <w:tcW w:w="2943" w:type="dxa"/>
        </w:tcPr>
        <w:p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263C9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95" w:rsidRDefault="00DB5B95" w:rsidP="009349F3">
      <w:pPr>
        <w:spacing w:line="240" w:lineRule="auto"/>
      </w:pPr>
      <w:r>
        <w:separator/>
      </w:r>
    </w:p>
  </w:footnote>
  <w:footnote w:type="continuationSeparator" w:id="0">
    <w:p w:rsidR="00DB5B95" w:rsidRDefault="00DB5B95"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pPr>
      <w:pStyle w:val="Encabezado"/>
    </w:pPr>
    <w:r>
      <w:ptab w:relativeTo="margin" w:alignment="center" w:leader="none"/>
    </w:r>
    <w:r>
      <w:rPr>
        <w:noProof/>
        <w:lang w:val="es-CR" w:eastAsia="es-CR"/>
      </w:rPr>
      <w:drawing>
        <wp:inline distT="0" distB="0" distL="0" distR="0" wp14:anchorId="6E1CE38D" wp14:editId="65527DE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4E11657"/>
    <w:multiLevelType w:val="hybridMultilevel"/>
    <w:tmpl w:val="83FA76B8"/>
    <w:lvl w:ilvl="0" w:tplc="140A0001">
      <w:start w:val="1"/>
      <w:numFmt w:val="bullet"/>
      <w:lvlText w:val=""/>
      <w:lvlJc w:val="left"/>
      <w:pPr>
        <w:ind w:left="360" w:hanging="360"/>
      </w:pPr>
      <w:rPr>
        <w:rFonts w:ascii="Symbol" w:hAnsi="Symbol" w:hint="default"/>
      </w:rPr>
    </w:lvl>
    <w:lvl w:ilvl="1" w:tplc="140A0017">
      <w:start w:val="1"/>
      <w:numFmt w:val="lowerLetter"/>
      <w:lvlText w:val="%2)"/>
      <w:lvlJc w:val="left"/>
      <w:pPr>
        <w:ind w:left="1080" w:hanging="360"/>
      </w:pPr>
      <w:rPr>
        <w:rFonts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2A303501"/>
    <w:multiLevelType w:val="hybridMultilevel"/>
    <w:tmpl w:val="550046B4"/>
    <w:lvl w:ilvl="0" w:tplc="140A0017">
      <w:start w:val="1"/>
      <w:numFmt w:val="lowerLetter"/>
      <w:lvlText w:val="%1)"/>
      <w:lvlJc w:val="left"/>
      <w:pPr>
        <w:ind w:left="1068" w:hanging="360"/>
      </w:pPr>
    </w:lvl>
    <w:lvl w:ilvl="1" w:tplc="140A0019">
      <w:start w:val="1"/>
      <w:numFmt w:val="lowerLetter"/>
      <w:lvlText w:val="%2."/>
      <w:lvlJc w:val="left"/>
      <w:pPr>
        <w:ind w:left="1788" w:hanging="360"/>
      </w:pPr>
    </w:lvl>
    <w:lvl w:ilvl="2" w:tplc="140A0017">
      <w:start w:val="1"/>
      <w:numFmt w:val="lowerLetter"/>
      <w:lvlText w:val="%3)"/>
      <w:lvlJc w:val="lef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15:restartNumberingAfterBreak="0">
    <w:nsid w:val="30920847"/>
    <w:multiLevelType w:val="hybridMultilevel"/>
    <w:tmpl w:val="7A68538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32B809F2"/>
    <w:multiLevelType w:val="hybridMultilevel"/>
    <w:tmpl w:val="6120A7AC"/>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33CB2639"/>
    <w:multiLevelType w:val="hybridMultilevel"/>
    <w:tmpl w:val="2964593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E1A307A"/>
    <w:multiLevelType w:val="hybridMultilevel"/>
    <w:tmpl w:val="B396019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40000CC3"/>
    <w:multiLevelType w:val="hybridMultilevel"/>
    <w:tmpl w:val="9F68BECC"/>
    <w:lvl w:ilvl="0" w:tplc="477EFE20">
      <w:start w:val="1"/>
      <w:numFmt w:val="upperRoman"/>
      <w:lvlText w:val="%1."/>
      <w:lvlJc w:val="righ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02C11B3"/>
    <w:multiLevelType w:val="multilevel"/>
    <w:tmpl w:val="4CAE0116"/>
    <w:lvl w:ilvl="0">
      <w:start w:val="1"/>
      <w:numFmt w:val="decimal"/>
      <w:lvlText w:val="%1."/>
      <w:lvlJc w:val="left"/>
      <w:pPr>
        <w:tabs>
          <w:tab w:val="num" w:pos="720"/>
        </w:tabs>
        <w:ind w:left="720" w:hanging="360"/>
      </w:pPr>
      <w:rPr>
        <w:lang w:val="es-ES"/>
      </w:r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2F188D"/>
    <w:multiLevelType w:val="hybridMultilevel"/>
    <w:tmpl w:val="1BE81514"/>
    <w:lvl w:ilvl="0" w:tplc="195AED48">
      <w:start w:val="1"/>
      <w:numFmt w:val="upperRoman"/>
      <w:lvlText w:val="%1."/>
      <w:lvlJc w:val="left"/>
      <w:pPr>
        <w:ind w:left="9149"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87A2E79"/>
    <w:multiLevelType w:val="hybridMultilevel"/>
    <w:tmpl w:val="4AE246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53C4415F"/>
    <w:multiLevelType w:val="hybridMultilevel"/>
    <w:tmpl w:val="3FE23C74"/>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578C5009"/>
    <w:multiLevelType w:val="hybridMultilevel"/>
    <w:tmpl w:val="7CAC43C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A64674E"/>
    <w:multiLevelType w:val="hybridMultilevel"/>
    <w:tmpl w:val="DA7424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FFC778B"/>
    <w:multiLevelType w:val="hybridMultilevel"/>
    <w:tmpl w:val="BC185DDC"/>
    <w:lvl w:ilvl="0" w:tplc="140A000F">
      <w:start w:val="1"/>
      <w:numFmt w:val="decimal"/>
      <w:lvlText w:val="%1."/>
      <w:lvlJc w:val="left"/>
      <w:pPr>
        <w:ind w:left="1068" w:hanging="360"/>
      </w:pPr>
    </w:lvl>
    <w:lvl w:ilvl="1" w:tplc="140A0019">
      <w:start w:val="1"/>
      <w:numFmt w:val="lowerLetter"/>
      <w:lvlText w:val="%2."/>
      <w:lvlJc w:val="left"/>
      <w:pPr>
        <w:ind w:left="1788" w:hanging="360"/>
      </w:pPr>
    </w:lvl>
    <w:lvl w:ilvl="2" w:tplc="140A0017">
      <w:start w:val="1"/>
      <w:numFmt w:val="lowerLetter"/>
      <w:lvlText w:val="%3)"/>
      <w:lvlJc w:val="lef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6"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0"/>
  </w:num>
  <w:num w:numId="2">
    <w:abstractNumId w:val="11"/>
  </w:num>
  <w:num w:numId="3">
    <w:abstractNumId w:val="12"/>
  </w:num>
  <w:num w:numId="4">
    <w:abstractNumId w:val="9"/>
  </w:num>
  <w:num w:numId="5">
    <w:abstractNumId w:val="16"/>
  </w:num>
  <w:num w:numId="6">
    <w:abstractNumId w:val="7"/>
  </w:num>
  <w:num w:numId="7">
    <w:abstractNumId w:val="8"/>
  </w:num>
  <w:num w:numId="8">
    <w:abstractNumId w:val="13"/>
  </w:num>
  <w:num w:numId="9">
    <w:abstractNumId w:val="14"/>
  </w:num>
  <w:num w:numId="10">
    <w:abstractNumId w:val="5"/>
  </w:num>
  <w:num w:numId="11">
    <w:abstractNumId w:val="1"/>
  </w:num>
  <w:num w:numId="12">
    <w:abstractNumId w:val="6"/>
  </w:num>
  <w:num w:numId="13">
    <w:abstractNumId w:val="4"/>
  </w:num>
  <w:num w:numId="14">
    <w:abstractNumId w:val="3"/>
  </w:num>
  <w:num w:numId="15">
    <w:abstractNumId w:val="1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79"/>
    <w:rsid w:val="00022D7B"/>
    <w:rsid w:val="00046B85"/>
    <w:rsid w:val="00061345"/>
    <w:rsid w:val="00085FEC"/>
    <w:rsid w:val="000E58FB"/>
    <w:rsid w:val="001155A7"/>
    <w:rsid w:val="00156438"/>
    <w:rsid w:val="001D2C06"/>
    <w:rsid w:val="001F6352"/>
    <w:rsid w:val="00203B4F"/>
    <w:rsid w:val="00212F3D"/>
    <w:rsid w:val="00226E69"/>
    <w:rsid w:val="00263C9D"/>
    <w:rsid w:val="002908E3"/>
    <w:rsid w:val="002A3CD1"/>
    <w:rsid w:val="002A4F60"/>
    <w:rsid w:val="00340631"/>
    <w:rsid w:val="0034377D"/>
    <w:rsid w:val="00393AC2"/>
    <w:rsid w:val="003C6B25"/>
    <w:rsid w:val="00415EB7"/>
    <w:rsid w:val="004174D3"/>
    <w:rsid w:val="00423091"/>
    <w:rsid w:val="004276EE"/>
    <w:rsid w:val="004313B1"/>
    <w:rsid w:val="00433B78"/>
    <w:rsid w:val="00455680"/>
    <w:rsid w:val="004564F5"/>
    <w:rsid w:val="00456ECA"/>
    <w:rsid w:val="004F4A06"/>
    <w:rsid w:val="00517D62"/>
    <w:rsid w:val="0052211B"/>
    <w:rsid w:val="005352C6"/>
    <w:rsid w:val="0053633C"/>
    <w:rsid w:val="00562198"/>
    <w:rsid w:val="00562315"/>
    <w:rsid w:val="00592F2F"/>
    <w:rsid w:val="005A5E40"/>
    <w:rsid w:val="006207C0"/>
    <w:rsid w:val="00636710"/>
    <w:rsid w:val="006579C6"/>
    <w:rsid w:val="0067403E"/>
    <w:rsid w:val="006972C9"/>
    <w:rsid w:val="006E1F0F"/>
    <w:rsid w:val="007400DF"/>
    <w:rsid w:val="00753621"/>
    <w:rsid w:val="0076357A"/>
    <w:rsid w:val="00776B79"/>
    <w:rsid w:val="007A08D9"/>
    <w:rsid w:val="007C0C0B"/>
    <w:rsid w:val="007D7FAE"/>
    <w:rsid w:val="007E1EC2"/>
    <w:rsid w:val="008200B7"/>
    <w:rsid w:val="008370A1"/>
    <w:rsid w:val="00851CE3"/>
    <w:rsid w:val="00855792"/>
    <w:rsid w:val="00871BF4"/>
    <w:rsid w:val="008748CC"/>
    <w:rsid w:val="008B0595"/>
    <w:rsid w:val="008E1275"/>
    <w:rsid w:val="008E24C6"/>
    <w:rsid w:val="008E6744"/>
    <w:rsid w:val="00900B79"/>
    <w:rsid w:val="009160F6"/>
    <w:rsid w:val="009349F3"/>
    <w:rsid w:val="0095665A"/>
    <w:rsid w:val="009D5F37"/>
    <w:rsid w:val="00A6227C"/>
    <w:rsid w:val="00A84C7A"/>
    <w:rsid w:val="00A85B57"/>
    <w:rsid w:val="00AD5B5C"/>
    <w:rsid w:val="00AF06C5"/>
    <w:rsid w:val="00B07B79"/>
    <w:rsid w:val="00B4403B"/>
    <w:rsid w:val="00B7752A"/>
    <w:rsid w:val="00BA5756"/>
    <w:rsid w:val="00BB6345"/>
    <w:rsid w:val="00CA27E1"/>
    <w:rsid w:val="00CE7606"/>
    <w:rsid w:val="00D70119"/>
    <w:rsid w:val="00DB5B95"/>
    <w:rsid w:val="00DE2D06"/>
    <w:rsid w:val="00E154D1"/>
    <w:rsid w:val="00E924AD"/>
    <w:rsid w:val="00EA4A2B"/>
    <w:rsid w:val="00F15973"/>
    <w:rsid w:val="00F578C0"/>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32F34-6621-44E2-B5B8-0829902B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Informe,Con viñetas,Normal con viñetas,3,Use Case List Paragraph,Bullet 1"/>
    <w:basedOn w:val="Normal"/>
    <w:link w:val="PrrafodelistaCar"/>
    <w:uiPriority w:val="34"/>
    <w:qFormat/>
    <w:rsid w:val="00776B79"/>
    <w:pPr>
      <w:spacing w:after="160" w:line="259" w:lineRule="auto"/>
      <w:ind w:left="720"/>
      <w:contextualSpacing/>
      <w:jc w:val="left"/>
    </w:pPr>
    <w:rPr>
      <w:rFonts w:asciiTheme="minorHAnsi" w:eastAsiaTheme="minorHAnsi" w:hAnsiTheme="minorHAnsi" w:cstheme="minorBidi"/>
      <w:szCs w:val="22"/>
      <w:lang w:val="es-CR"/>
    </w:rPr>
  </w:style>
  <w:style w:type="character" w:styleId="Refdecomentario">
    <w:name w:val="annotation reference"/>
    <w:basedOn w:val="Fuentedeprrafopredeter"/>
    <w:uiPriority w:val="99"/>
    <w:semiHidden/>
    <w:unhideWhenUsed/>
    <w:rsid w:val="00776B79"/>
    <w:rPr>
      <w:sz w:val="16"/>
      <w:szCs w:val="16"/>
    </w:rPr>
  </w:style>
  <w:style w:type="paragraph" w:styleId="Textocomentario">
    <w:name w:val="annotation text"/>
    <w:basedOn w:val="Normal"/>
    <w:link w:val="TextocomentarioCar"/>
    <w:uiPriority w:val="99"/>
    <w:semiHidden/>
    <w:unhideWhenUsed/>
    <w:rsid w:val="00776B79"/>
    <w:pPr>
      <w:spacing w:after="160" w:line="240" w:lineRule="auto"/>
      <w:jc w:val="left"/>
    </w:pPr>
    <w:rPr>
      <w:rFonts w:asciiTheme="minorHAnsi" w:eastAsiaTheme="minorHAnsi" w:hAnsiTheme="minorHAnsi" w:cstheme="minorBidi"/>
      <w:sz w:val="20"/>
      <w:szCs w:val="20"/>
      <w:lang w:val="es-CR"/>
    </w:rPr>
  </w:style>
  <w:style w:type="character" w:customStyle="1" w:styleId="TextocomentarioCar">
    <w:name w:val="Texto comentario Car"/>
    <w:basedOn w:val="Fuentedeprrafopredeter"/>
    <w:link w:val="Textocomentario"/>
    <w:uiPriority w:val="99"/>
    <w:semiHidden/>
    <w:rsid w:val="00776B79"/>
    <w:rPr>
      <w:sz w:val="20"/>
      <w:szCs w:val="20"/>
    </w:rPr>
  </w:style>
  <w:style w:type="character" w:customStyle="1" w:styleId="PrrafodelistaCar">
    <w:name w:val="Párrafo de lista Car"/>
    <w:aliases w:val="Informe Car,Con viñetas Car,Normal con viñetas Car,3 Car,Use Case List Paragraph Car,Bullet 1 Car"/>
    <w:link w:val="Prrafodelista"/>
    <w:uiPriority w:val="34"/>
    <w:locked/>
    <w:rsid w:val="00A85B57"/>
  </w:style>
  <w:style w:type="paragraph" w:styleId="NormalWeb">
    <w:name w:val="Normal (Web)"/>
    <w:basedOn w:val="Normal"/>
    <w:rsid w:val="00456ECA"/>
    <w:pPr>
      <w:spacing w:before="100" w:beforeAutospacing="1" w:after="100" w:afterAutospacing="1" w:line="240" w:lineRule="auto"/>
      <w:jc w:val="left"/>
    </w:pPr>
    <w:rPr>
      <w:rFonts w:ascii="Times New Roman" w:hAnsi="Times New Roman"/>
      <w:color w:val="000000"/>
      <w:sz w:val="20"/>
      <w:szCs w:val="20"/>
      <w:lang w:eastAsia="es-ES"/>
    </w:rPr>
  </w:style>
  <w:style w:type="paragraph" w:customStyle="1" w:styleId="Default">
    <w:name w:val="Default"/>
    <w:rsid w:val="00562198"/>
    <w:pPr>
      <w:autoSpaceDE w:val="0"/>
      <w:autoSpaceDN w:val="0"/>
      <w:adjustRightInd w:val="0"/>
      <w:spacing w:after="0" w:line="240" w:lineRule="auto"/>
    </w:pPr>
    <w:rPr>
      <w:rFonts w:ascii="Times New Roman" w:eastAsia="Calibri" w:hAnsi="Times New Roman" w:cs="Times New Roman"/>
      <w:color w:val="000000"/>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08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ugefcr@sugef.fi.c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ssicvecacredito@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E3DA67CD0C46BC92B843E07971C7CD"/>
        <w:category>
          <w:name w:val="General"/>
          <w:gallery w:val="placeholder"/>
        </w:category>
        <w:types>
          <w:type w:val="bbPlcHdr"/>
        </w:types>
        <w:behaviors>
          <w:behavior w:val="content"/>
        </w:behaviors>
        <w:guid w:val="{BA972475-A3D7-4913-8D9D-133B0C09472A}"/>
      </w:docPartPr>
      <w:docPartBody>
        <w:p w:rsidR="00834582" w:rsidRDefault="00876546" w:rsidP="00876546">
          <w:pPr>
            <w:pStyle w:val="0DE3DA67CD0C46BC92B843E07971C7CD"/>
          </w:pPr>
          <w:r w:rsidRPr="001E0779">
            <w:rPr>
              <w:rStyle w:val="Textodelmarcadordeposicin"/>
            </w:rPr>
            <w:t>Haga clic aquí para escribir texto.</w:t>
          </w:r>
        </w:p>
      </w:docPartBody>
    </w:docPart>
    <w:docPart>
      <w:docPartPr>
        <w:name w:val="249DBBCB690C48B9AB251C4FA4749232"/>
        <w:category>
          <w:name w:val="General"/>
          <w:gallery w:val="placeholder"/>
        </w:category>
        <w:types>
          <w:type w:val="bbPlcHdr"/>
        </w:types>
        <w:behaviors>
          <w:behavior w:val="content"/>
        </w:behaviors>
        <w:guid w:val="{2BC670B0-093E-4579-B6C9-EC3A7BB77FB7}"/>
      </w:docPartPr>
      <w:docPartBody>
        <w:p w:rsidR="00834582" w:rsidRDefault="00876546" w:rsidP="00876546">
          <w:pPr>
            <w:pStyle w:val="249DBBCB690C48B9AB251C4FA474923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51"/>
    <w:rsid w:val="000F51E5"/>
    <w:rsid w:val="00262B74"/>
    <w:rsid w:val="00834582"/>
    <w:rsid w:val="00876546"/>
    <w:rsid w:val="00996D5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4582"/>
  </w:style>
  <w:style w:type="paragraph" w:customStyle="1" w:styleId="72FA65D5AC83416A97DAF7192D032801">
    <w:name w:val="72FA65D5AC83416A97DAF7192D032801"/>
  </w:style>
  <w:style w:type="paragraph" w:customStyle="1" w:styleId="0002686F391D4241B00B2547DDF21DB3">
    <w:name w:val="0002686F391D4241B00B2547DDF21DB3"/>
  </w:style>
  <w:style w:type="paragraph" w:customStyle="1" w:styleId="0DE3DA67CD0C46BC92B843E07971C7CD">
    <w:name w:val="0DE3DA67CD0C46BC92B843E07971C7CD"/>
    <w:rsid w:val="00876546"/>
  </w:style>
  <w:style w:type="paragraph" w:customStyle="1" w:styleId="249DBBCB690C48B9AB251C4FA4749232">
    <w:name w:val="249DBBCB690C48B9AB251C4FA4749232"/>
    <w:rsid w:val="00876546"/>
  </w:style>
  <w:style w:type="paragraph" w:customStyle="1" w:styleId="05E3A150EFC948C682084AB9A814D6FC">
    <w:name w:val="05E3A150EFC948C682084AB9A814D6FC"/>
    <w:rsid w:val="00834582"/>
  </w:style>
  <w:style w:type="paragraph" w:customStyle="1" w:styleId="33F275F2CFAC43E7AE9B609933210FB3">
    <w:name w:val="33F275F2CFAC43E7AE9B609933210FB3"/>
    <w:rsid w:val="0083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el oficio</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RIESGO GLOBAL</DisplayName>
        <AccountId>716</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2020-05-04T23:53:15+00:00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Oficialización de la clase de Datos PUI del Manual de Información de SICVECA
Copiar a Saliente Normas y Riesgo Global</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Oficialización de la clase de Datos PUI del Manual de Información de SICVECA.</Subject1>
    <_dlc_ExpireDateSaved xmlns="http://schemas.microsoft.com/sharepoint/v3" xsi:nil="true"/>
    <_dlc_ExpireDate xmlns="http://schemas.microsoft.com/sharepoint/v3">2020-05-18T23:53:15+00:00</_dlc_ExpireDate>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4" ma:contentTypeDescription="Crear nuevo documento." ma:contentTypeScope="" ma:versionID="340316d2ae7373d6910dc4477822cbd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FB7B0-B425-4B89-A5C1-7E9987DC47BE}">
  <ds:schemaRefs>
    <ds:schemaRef ds:uri="http://schemas.microsoft.com/office/2006/metadata/properties"/>
    <ds:schemaRef ds:uri="http://schemas.microsoft.com/office/infopath/2007/PartnerControls"/>
    <ds:schemaRef ds:uri="b875e23b-67d9-4b2e-bdec-edacbf90b326"/>
    <ds:schemaRef ds:uri="http://schemas.microsoft.com/sharepoint/v3"/>
  </ds:schemaRefs>
</ds:datastoreItem>
</file>

<file path=customXml/itemProps2.xml><?xml version="1.0" encoding="utf-8"?>
<ds:datastoreItem xmlns:ds="http://schemas.openxmlformats.org/officeDocument/2006/customXml" ds:itemID="{7C722461-D298-4BDE-A748-0011A35FDA82}">
  <ds:schemaRefs>
    <ds:schemaRef ds:uri="http://schemas.microsoft.com/sharepoint/events"/>
  </ds:schemaRefs>
</ds:datastoreItem>
</file>

<file path=customXml/itemProps3.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4.xml><?xml version="1.0" encoding="utf-8"?>
<ds:datastoreItem xmlns:ds="http://schemas.openxmlformats.org/officeDocument/2006/customXml" ds:itemID="{6BB879CC-E785-4DBC-8283-6BC2B2051BE4}">
  <ds:schemaRefs>
    <ds:schemaRef ds:uri="office.server.policy"/>
  </ds:schemaRefs>
</ds:datastoreItem>
</file>

<file path=customXml/itemProps5.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6.xml><?xml version="1.0" encoding="utf-8"?>
<ds:datastoreItem xmlns:ds="http://schemas.openxmlformats.org/officeDocument/2006/customXml" ds:itemID="{4C9EABB6-9F9F-4EE3-BEF9-38CA47BC6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E2CC0E4-B948-4BF7-B04F-5F569FE2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ALVAREZ ESQUIVEL JOSE ANTONIO</cp:lastModifiedBy>
  <cp:revision>2</cp:revision>
  <dcterms:created xsi:type="dcterms:W3CDTF">2020-05-05T16:06:00Z</dcterms:created>
  <dcterms:modified xsi:type="dcterms:W3CDTF">2020-05-05T16:06:00Z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50500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WorkflowChangePath">
    <vt:lpwstr>546dfbb4-8cc0-45d4-a64c-4db3fdd3f8fe,5;ab7952a0-1ae5-4b26-8d7a-be63a467751b,8;7fbe2daa-81e7-4f6c-9374-92db082f412c,9;</vt:lpwstr>
  </property>
  <property fmtid="{D5CDD505-2E9C-101B-9397-08002B2CF9AE}" pid="15" name="ecm_ItemDeleteBlockHolders">
    <vt:lpwstr>ecm_InPlaceRecordLock</vt:lpwstr>
  </property>
  <property fmtid="{D5CDD505-2E9C-101B-9397-08002B2CF9AE}" pid="16" name="_vti_ItemDeclaredRecord">
    <vt:filetime>2020-05-04T23:53:26Z</vt:filetime>
  </property>
  <property fmtid="{D5CDD505-2E9C-101B-9397-08002B2CF9AE}" pid="17" name="_vti_ItemHoldRecordStatus">
    <vt:i4>273</vt:i4>
  </property>
  <property fmtid="{D5CDD505-2E9C-101B-9397-08002B2CF9AE}" pid="18" name="IconOverlay">
    <vt:lpwstr>|docx|lockoverlay.png</vt:lpwstr>
  </property>
  <property fmtid="{D5CDD505-2E9C-101B-9397-08002B2CF9AE}" pid="19" name="ecm_RecordRestrictions">
    <vt:lpwstr>BlockDelete, BlockEdit</vt:lpwstr>
  </property>
  <property fmtid="{D5CDD505-2E9C-101B-9397-08002B2CF9AE}" pid="20" name="ecm_ItemLockHolders">
    <vt:lpwstr>ecm_InPlaceRecordLock</vt:lpwstr>
  </property>
</Properties>
</file>